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6713" w14:textId="5FAB9520"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LOS ACTOS DE </w:t>
      </w:r>
      <w:r>
        <w:rPr>
          <w:rFonts w:ascii="Ubuntu" w:hAnsi="Ubuntu"/>
          <w:color w:val="323335"/>
          <w:sz w:val="27"/>
          <w:szCs w:val="27"/>
        </w:rPr>
        <w:t>MEDIACION. -</w:t>
      </w:r>
      <w:r>
        <w:rPr>
          <w:rFonts w:ascii="Ubuntu" w:hAnsi="Ubuntu"/>
          <w:color w:val="323335"/>
          <w:sz w:val="27"/>
          <w:szCs w:val="27"/>
        </w:rPr>
        <w:t xml:space="preserve"> La corriente actual es </w:t>
      </w:r>
      <w:r>
        <w:rPr>
          <w:rFonts w:ascii="Ubuntu" w:hAnsi="Ubuntu"/>
          <w:color w:val="323335"/>
          <w:sz w:val="27"/>
          <w:szCs w:val="27"/>
        </w:rPr>
        <w:t>que primero</w:t>
      </w:r>
      <w:r>
        <w:rPr>
          <w:rFonts w:ascii="Ubuntu" w:hAnsi="Ubuntu"/>
          <w:color w:val="323335"/>
          <w:sz w:val="27"/>
          <w:szCs w:val="27"/>
        </w:rPr>
        <w:t xml:space="preserve"> se abre un proceso judicial para que el juzgador derive la causa a un Centro de Mediación. </w:t>
      </w:r>
      <w:r>
        <w:rPr>
          <w:rStyle w:val="Textoennegrita"/>
          <w:rFonts w:ascii="Ubuntu" w:hAnsi="Ubuntu"/>
          <w:color w:val="323335"/>
        </w:rPr>
        <w:t>“Esto lo que provoca es retardar la administración de justicia. Que tanto se promulga que debe ser rápida, eficiente y ágil cosa que en la realidad no ocurre para nada”.  </w:t>
      </w:r>
    </w:p>
    <w:p w14:paraId="1013453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w:t>
      </w:r>
    </w:p>
    <w:p w14:paraId="4E53AFB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sidRPr="00E56BD9">
        <w:rPr>
          <w:rStyle w:val="Textoennegrita"/>
          <w:rFonts w:ascii="Ubuntu" w:hAnsi="Ubuntu"/>
          <w:color w:val="323335"/>
          <w:highlight w:val="yellow"/>
        </w:rPr>
        <w:t>LEY DE ARBITRAJE Y MEDIACIÓN</w:t>
      </w:r>
    </w:p>
    <w:p w14:paraId="7B87E92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(Ley s/n)</w:t>
      </w:r>
    </w:p>
    <w:p w14:paraId="28092EF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 </w:t>
      </w:r>
    </w:p>
    <w:p w14:paraId="035B04C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EL CONGRESO NACIONAL</w:t>
      </w:r>
    </w:p>
    <w:p w14:paraId="55D2503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En ejercicio de sus facultades constitucionales y legales, expide la siguiente:</w:t>
      </w:r>
    </w:p>
    <w:p w14:paraId="005BD0E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 </w:t>
      </w:r>
    </w:p>
    <w:p w14:paraId="5D6A0AF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LEY DE ARBITRAJE Y MEDIACIÓN</w:t>
      </w:r>
    </w:p>
    <w:p w14:paraId="4834099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Título I</w:t>
      </w:r>
    </w:p>
    <w:p w14:paraId="0F60B5E2"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DEL ARBITRAJE</w:t>
      </w:r>
    </w:p>
    <w:p w14:paraId="0C2E524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VALIDEZ DEL SISTEMA ARBITRAL</w:t>
      </w:r>
    </w:p>
    <w:p w14:paraId="681749F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1.- El sistema arbitral es un mecanismo alternativo de solución de conflictos al cual las partes pueden someter de mutuo acuerdo, las controversias susceptibles de transacción, existentes o futuras para que sean resueltas por los tribunales de arbitraje administrado o por árbitros independientes que se conformaren para conocer dichas</w:t>
      </w:r>
    </w:p>
    <w:p w14:paraId="607CFF8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controversias.</w:t>
      </w:r>
    </w:p>
    <w:p w14:paraId="366337A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ARBITRAJE ADMINISTRADO O INDEPENDIENTE</w:t>
      </w:r>
    </w:p>
    <w:p w14:paraId="175BE80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Art. 2.- El Arbitraje es administrado cuando se desarrolla con sujeción a esta L </w:t>
      </w:r>
      <w:proofErr w:type="spellStart"/>
      <w:r>
        <w:rPr>
          <w:rFonts w:ascii="Ubuntu" w:hAnsi="Ubuntu"/>
          <w:color w:val="323335"/>
          <w:sz w:val="27"/>
          <w:szCs w:val="27"/>
        </w:rPr>
        <w:t>ey</w:t>
      </w:r>
      <w:proofErr w:type="spellEnd"/>
      <w:r>
        <w:rPr>
          <w:rFonts w:ascii="Ubuntu" w:hAnsi="Ubuntu"/>
          <w:color w:val="323335"/>
          <w:sz w:val="27"/>
          <w:szCs w:val="27"/>
        </w:rPr>
        <w:t xml:space="preserve"> y a las normas y procedimientos expedidos por un C entro de Arbitraje, y es independiente cuando se realiza conforme a lo que las partes pacten, con arreglo a esta Ley.</w:t>
      </w:r>
    </w:p>
    <w:p w14:paraId="3BE20C6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ARBITRAJE DE EQUIDAD O DERECHO</w:t>
      </w:r>
    </w:p>
    <w:p w14:paraId="6A02581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3.- Las partes indicarán si los árbitros deben decidir en equidad o en derecho, a falta de convenio, el fallo será en equidad.</w:t>
      </w:r>
    </w:p>
    <w:p w14:paraId="76F9EBD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Si el laudo debe expedirse fundado en la equidad, los árbitros actuarán conforme a su leal saber y entender y atendiendo a los principios de la sana crítica. En este caso, los árbitros no tienen que ser necesariamente abogados.</w:t>
      </w:r>
    </w:p>
    <w:p w14:paraId="6CD9FC4F"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Si el laudo debe expedirse fundado en derecho, los árbitros deberán atenerse a la ley, a los principios universales del derecho, a la jurisprudencia y a la doctrina. En este caso, los árbitros deberán ser abogados.</w:t>
      </w:r>
    </w:p>
    <w:p w14:paraId="01B1551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CAPACIDAD PARA ACUDIR AL ARBITRAJE</w:t>
      </w:r>
    </w:p>
    <w:p w14:paraId="0B1B217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4.- Podrán someterse al arbitraje regulado en esta Ley las personas naturales o jurídicas que tengan capacidad para transigir, cumpliendo con los requisitos que establece la misma.</w:t>
      </w:r>
    </w:p>
    <w:p w14:paraId="2ADF833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Para que las diferentes entidades que conforman el sector público puedan someterse al arbitraje, además de cumplir con los requisitos que establece esta Ley, tendrán que cumplir los siguientes requisitos </w:t>
      </w:r>
      <w:r>
        <w:rPr>
          <w:rFonts w:ascii="Ubuntu" w:hAnsi="Ubuntu"/>
          <w:color w:val="323335"/>
          <w:sz w:val="27"/>
          <w:szCs w:val="27"/>
        </w:rPr>
        <w:lastRenderedPageBreak/>
        <w:t xml:space="preserve">adicionales: </w:t>
      </w:r>
      <w:proofErr w:type="spellStart"/>
      <w:r>
        <w:rPr>
          <w:rFonts w:ascii="Ubuntu" w:hAnsi="Ubuntu"/>
          <w:color w:val="323335"/>
          <w:sz w:val="27"/>
          <w:szCs w:val="27"/>
        </w:rPr>
        <w:t>actar</w:t>
      </w:r>
      <w:proofErr w:type="spellEnd"/>
      <w:r>
        <w:rPr>
          <w:rFonts w:ascii="Ubuntu" w:hAnsi="Ubuntu"/>
          <w:color w:val="323335"/>
          <w:sz w:val="27"/>
          <w:szCs w:val="27"/>
        </w:rPr>
        <w:t xml:space="preserve"> un convenio arbitral, con anterioridad al surgimiento de la controversia; en caso de que se quisiera firmar el convenio una vez surgida la controversia, deberá consultarse al Procurador General del Estado, dictamen que será de obligatorio cumplimiento;</w:t>
      </w:r>
    </w:p>
    <w:p w14:paraId="5BBA7DB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 relación jurídica a la cual se refiere el convenio deberá ser de carácter contractual;</w:t>
      </w:r>
    </w:p>
    <w:p w14:paraId="1C749EE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En el convenio arbitral deberá incluirse la forma de selección de los árbitros; y,</w:t>
      </w:r>
    </w:p>
    <w:p w14:paraId="4101749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El convenio arbitral, por medio del cual la Institución del sector público renuncia a la jurisdicción ordinaria,</w:t>
      </w:r>
    </w:p>
    <w:p w14:paraId="6FE288D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deberá ser firmado por la persona autorizada para contratar a nombre de dicha institución.</w:t>
      </w:r>
    </w:p>
    <w:p w14:paraId="60A78A1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El incumplimiento de los requisitos señalados acarreará la nulidad del convenio arbitral.</w:t>
      </w:r>
    </w:p>
    <w:p w14:paraId="1669C8B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DEFINICIÓN DE CONVENIO ARBITRAL</w:t>
      </w:r>
    </w:p>
    <w:p w14:paraId="7345A99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5.- El convenio arbitral es el acuerdo escrito en virtud del cual las partes deciden someter a arbitraje todas las controversias o ciertas controversias que hayan surgido o puedan surgir entre ellas respecto de una determinada relación jurídica, contractual o no contractual.</w:t>
      </w:r>
    </w:p>
    <w:p w14:paraId="5288A80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El convenio arbitral deberá constar por escrito y, si se refiere a un negocio jurídico al que no se incorpore el convenio en su texto, deberá constar en un documento que exprese el nombre de las partes y la determinación</w:t>
      </w:r>
    </w:p>
    <w:p w14:paraId="5FA3E79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inequívoca del negocio jurídico a que se refiere. En los demás casos, es decir, de convenios arbitrales sobre las </w:t>
      </w:r>
      <w:proofErr w:type="spellStart"/>
      <w:r>
        <w:rPr>
          <w:rFonts w:ascii="Ubuntu" w:hAnsi="Ubuntu"/>
          <w:color w:val="323335"/>
          <w:sz w:val="27"/>
          <w:szCs w:val="27"/>
        </w:rPr>
        <w:t>ndemnizaciones</w:t>
      </w:r>
      <w:proofErr w:type="spellEnd"/>
      <w:r>
        <w:rPr>
          <w:rFonts w:ascii="Ubuntu" w:hAnsi="Ubuntu"/>
          <w:color w:val="323335"/>
          <w:sz w:val="27"/>
          <w:szCs w:val="27"/>
        </w:rPr>
        <w:t xml:space="preserve"> civiles por delitos o cuasidelitos, el convenio arbitral deberá referirse a los hechos sobre los que versará el arbitraje.</w:t>
      </w:r>
    </w:p>
    <w:p w14:paraId="2DF8892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 nulidad de un contrato no afectará la vigencia del convenio arbitral.</w:t>
      </w:r>
    </w:p>
    <w:p w14:paraId="32B1D22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No obstante haber un juicio pendiente ante la justicia ordinaria en materia susceptible de transacción, las partes podrán recurrir al arbitraje, en este caso, conjuntamente solicitarán al juez competente el archivo de la causa, acompañando a la solicitud una copia del convenio arbitral y, de hallarse pendiente un recurso, deberán, además, desistir de él.</w:t>
      </w:r>
    </w:p>
    <w:p w14:paraId="6AD875E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OTRAS FORMAS DE SOMETERSE AL ARBITRAJE</w:t>
      </w:r>
    </w:p>
    <w:p w14:paraId="0D3077F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6.- Se entenderá que existe un Convenio Arbitral no sólo cuando el acuerdo figure en un único documento firmado por las partes, sino también cuando resulte de intercambio de cartas o de cualquier otro medio de comunicación escrito que deje constancia documental de la voluntad de las partes de someterse al Arbitraje.</w:t>
      </w:r>
    </w:p>
    <w:p w14:paraId="1777E0A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Art. 7.- El Convenio Arbitral, que obliga a las partes a acatar el laudo que se expida, impide someter el caso a </w:t>
      </w:r>
      <w:proofErr w:type="spellStart"/>
      <w:r>
        <w:rPr>
          <w:rFonts w:ascii="Ubuntu" w:hAnsi="Ubuntu"/>
          <w:color w:val="323335"/>
          <w:sz w:val="27"/>
          <w:szCs w:val="27"/>
        </w:rPr>
        <w:t>lajusticia</w:t>
      </w:r>
      <w:proofErr w:type="spellEnd"/>
      <w:r>
        <w:rPr>
          <w:rFonts w:ascii="Ubuntu" w:hAnsi="Ubuntu"/>
          <w:color w:val="323335"/>
          <w:sz w:val="27"/>
          <w:szCs w:val="27"/>
        </w:rPr>
        <w:t xml:space="preserve"> ordinaria.</w:t>
      </w:r>
    </w:p>
    <w:p w14:paraId="6CF1516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RENUNCIA AL CONVENIO ARBITRAL</w:t>
      </w:r>
    </w:p>
    <w:p w14:paraId="00CD099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Art. 8.- Las partes pueden de mutuo acuerdo renunciar por escrito al convenio arbitral que hayan celebrado, en cuyo </w:t>
      </w:r>
      <w:proofErr w:type="gramStart"/>
      <w:r>
        <w:rPr>
          <w:rFonts w:ascii="Ubuntu" w:hAnsi="Ubuntu"/>
          <w:color w:val="323335"/>
          <w:sz w:val="27"/>
          <w:szCs w:val="27"/>
        </w:rPr>
        <w:t>caso cualesquiera</w:t>
      </w:r>
      <w:proofErr w:type="gramEnd"/>
      <w:r>
        <w:rPr>
          <w:rFonts w:ascii="Ubuntu" w:hAnsi="Ubuntu"/>
          <w:color w:val="323335"/>
          <w:sz w:val="27"/>
          <w:szCs w:val="27"/>
        </w:rPr>
        <w:t xml:space="preserve"> de </w:t>
      </w:r>
      <w:r>
        <w:rPr>
          <w:rFonts w:ascii="Ubuntu" w:hAnsi="Ubuntu"/>
          <w:color w:val="323335"/>
          <w:sz w:val="27"/>
          <w:szCs w:val="27"/>
        </w:rPr>
        <w:lastRenderedPageBreak/>
        <w:t>ellas puede acudir con su reclamación al órgano judicial competente. S e entenderá, sin embargo, que tal renuncia existe cuando, presentada por cualquiera de ellas una demanda ante un órgano</w:t>
      </w:r>
    </w:p>
    <w:p w14:paraId="54F543E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judicial, el demandado no opone, en el tiempo de proponer excepciones, la de existencia de convenio arbitral. El órgano judicial respectivo deberá sustanciar y resolver esta excepción, de haberse propuesto, corriendo traslado a la otra parte y exigiendo a los litigantes la prueba de sus afirmaciones dentro de los tres días subsiguientes a la fecha en que se haya comunicado el traslado. Aceptada la excepción deberá ordenarse el archivo de la causa, en</w:t>
      </w:r>
    </w:p>
    <w:p w14:paraId="603B36F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caso contrario, ejecutoriado el auto dictado por el Juez, se sustanciará el proceso según las reglas generales.</w:t>
      </w:r>
    </w:p>
    <w:p w14:paraId="5AB931B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MEDIDAS CAUTELARES</w:t>
      </w:r>
    </w:p>
    <w:p w14:paraId="0DB5475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9.- Los árbitros podrán dictar medidas cautelares, de acuerdo con las normas del Código de Procedimiento Civil o las que se consideren necesarias para cada caso, para asegurar los bienes materia del proceso o para garantizar el resultado de éste. L os árbitros pueden exigir una garantía a quien solicite la medida, con el propósito de cubrir el pago del costo de tal medida y de la indemnización por daños y perjuicios a la parte contraria, si la</w:t>
      </w:r>
    </w:p>
    <w:p w14:paraId="7E7DE8B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pretensión fuera declarada infundada en el laudo.</w:t>
      </w:r>
    </w:p>
    <w:p w14:paraId="3F55526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 parte contra quien se dicte la medida cautelar podrá pedir la suspensión de ésta, si rinde caución suficiente ante el tribunal.</w:t>
      </w:r>
    </w:p>
    <w:p w14:paraId="474618FF"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Para la ejecución de las medidas cautelares, los árbitros siempre que las partes así lo estipularen en el convenio</w:t>
      </w:r>
    </w:p>
    <w:p w14:paraId="6739CC9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arbitral, solicitarán el auxilio de los funcionarios públicos, judiciales, policiales y administrativos que sean necesarios sin tener que recurrir a Juez ordinario alguno del lugar donde se encuentren los bienes o donde sea necesario adoptar las medidas.</w:t>
      </w:r>
    </w:p>
    <w:p w14:paraId="2F6ADAE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Si nada se estableciere en el convenio arbitral acerca de la ejecución de las medidas cautelares, cualquiera de las partes podrá solicitar a los jueces ordinarios que ordenen la ejecución de estas medidas, sujetándose a lo establecido en el párrafo dos (2) y tres (3) de este artículo, sin que esto signifique renuncia al convenio arbitral.</w:t>
      </w:r>
    </w:p>
    <w:p w14:paraId="315BC6A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DEMANDA ARBITRAL</w:t>
      </w:r>
    </w:p>
    <w:p w14:paraId="28E0B12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10.- La demanda se presentará ante el director del centro de arbitraje correspondiente o ante el árbitro o árbitros independientes que se hubieren establecido en el convenio. La demanda contendrá:</w:t>
      </w:r>
    </w:p>
    <w:p w14:paraId="4EF8559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1 </w:t>
      </w:r>
      <w:proofErr w:type="gramStart"/>
      <w:r>
        <w:rPr>
          <w:rFonts w:ascii="Ubuntu" w:hAnsi="Ubuntu"/>
          <w:color w:val="323335"/>
          <w:sz w:val="27"/>
          <w:szCs w:val="27"/>
        </w:rPr>
        <w:t>La</w:t>
      </w:r>
      <w:proofErr w:type="gramEnd"/>
      <w:r>
        <w:rPr>
          <w:rFonts w:ascii="Ubuntu" w:hAnsi="Ubuntu"/>
          <w:color w:val="323335"/>
          <w:sz w:val="27"/>
          <w:szCs w:val="27"/>
        </w:rPr>
        <w:t xml:space="preserve"> designación del centro o del árbitro ante quien se la propone;</w:t>
      </w:r>
    </w:p>
    <w:p w14:paraId="27F885C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2. La identificación del actor y la del demandado;</w:t>
      </w:r>
    </w:p>
    <w:p w14:paraId="043204A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3. Los fundamentos de hecho y de derecho, expuestos con claridad y precisión;</w:t>
      </w:r>
    </w:p>
    <w:p w14:paraId="0DE96C3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4. La cosa, cantidad o hecho que se exige;</w:t>
      </w:r>
    </w:p>
    <w:p w14:paraId="4EE8280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5. La determinación de la cuantía;</w:t>
      </w:r>
    </w:p>
    <w:p w14:paraId="3B54966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lastRenderedPageBreak/>
        <w:t>6. La designación del lugar en que debe citarse al demandado, y la del lugar donde debe notificarse al actor; y,</w:t>
      </w:r>
    </w:p>
    <w:p w14:paraId="371A723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7. Los demás requisitos que la Ley exija para cada caso.</w:t>
      </w:r>
    </w:p>
    <w:p w14:paraId="0C9C737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Se deberán, además, cumplir los requisitos señalados en el artículo 72 del Código de Procedimiento Civil. A la demanda se acompañará necesariamente el instrumento en que conste el respectivo convenio arbitral o copia auténtica de éste.</w:t>
      </w:r>
    </w:p>
    <w:p w14:paraId="69053FC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Adicionalmente, se adjuntarán las pruebas y se solicitará la práctica de las diligencias probatorias que justifiquen lo aducido en la demanda.</w:t>
      </w:r>
    </w:p>
    <w:p w14:paraId="096D19C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CITACIÓN Y CONTESTACIÓN DE LA DEMANDA ARBITRAL</w:t>
      </w:r>
    </w:p>
    <w:p w14:paraId="3981ADC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11.- Presentada la demanda, el director del centro de arbitraje, o si fuere el caso, el árbitro o árbitros independientes previa su posesión conforme lo establecido en el artículo 17, calificarán la demanda y mandarán a citar a la otra parte, debiendo practicarse la diligencia de citación dentro de los cinco días subsiguientes, concediéndole el término de diez días para que conteste con los mismos requisitos exigidos por el Código de Procedimiento Civil para la contestación de la demanda. Adicionalmente, se adjuntarán las pruebas y se solicitará</w:t>
      </w:r>
    </w:p>
    <w:p w14:paraId="3EF4424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 práctica de las diligencias probatorias, que justifiquen lo aducido en la contestación.</w:t>
      </w:r>
    </w:p>
    <w:p w14:paraId="3BA02E62"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El silencio se considerará como negativa pura y simple de los fundamentos de la demanda. S i al actor le fuere imposible determinar el domicilio del demandado, la citación se hará mediante dos publicaciones en un diario de amplia circulación en el lugar en donde se sigue el arbitraje y en el domicilio del demandado. Si el demandado</w:t>
      </w:r>
    </w:p>
    <w:p w14:paraId="0B20381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no compareciere en el término de diez (10) días después de la última publicación, este hecho se tendrá como negativa pura y simple de los fundamentos de la demanda. La imposibilidad de determinación del domicilio del demandado deberá justificarse con arreglo a las normas del Código de Procedimiento Civil.</w:t>
      </w:r>
    </w:p>
    <w:p w14:paraId="6E14F06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12.- Si el demandado tuviere su domicilio fuera del lugar de arbitraje, se le concederá un término extraordinario para que conteste la demanda, el que no podrá exceder del doble del ordinario. Al contestar la demanda, el demandado podrá reconvenir exclusivamente sobre la misma materia del arbitraje siempre y cuando su pretensión pueda, conforme al convenio arbitral, someterse al arbitraje.</w:t>
      </w:r>
    </w:p>
    <w:p w14:paraId="3457405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En este caso se concederá al actor el término de diez días para que conteste la reconvención.</w:t>
      </w:r>
    </w:p>
    <w:p w14:paraId="124B0D0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 la reconvención y su contestación se deberá adjuntar las pruebas y solicitar las diligencias probatorias que justifiquen lo aducido en éstas.</w:t>
      </w:r>
    </w:p>
    <w:p w14:paraId="643EFEA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MODIFICACIÓN DE LA DEMANDA O CONTESTACIÓN</w:t>
      </w:r>
    </w:p>
    <w:p w14:paraId="5FBC79A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Art. 13.- Las partes podrán modificar la demanda, la contestación a ésta, la reconvención a la demanda, o la contestación a ésta, por una sola vez, en el término de cinco días luego de presentada cualquiera </w:t>
      </w:r>
      <w:r>
        <w:rPr>
          <w:rFonts w:ascii="Ubuntu" w:hAnsi="Ubuntu"/>
          <w:color w:val="323335"/>
          <w:sz w:val="27"/>
          <w:szCs w:val="27"/>
        </w:rPr>
        <w:lastRenderedPageBreak/>
        <w:t>de éstas. Las partes tendrán el término de tres días para contestar cualquiera de las modificaciones, en cuyo caso no correrán los términos que estuvieren transcurriendo.</w:t>
      </w:r>
    </w:p>
    <w:p w14:paraId="5C94CB5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14.- S i el demandado, una vez citado con la demanda no compareciere al proceso, su no comparecencia no impedirá que el arbitraje continúe su curso.</w:t>
      </w:r>
    </w:p>
    <w:p w14:paraId="5349E59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AUDIENCIA DE MEDIACIÓN</w:t>
      </w:r>
    </w:p>
    <w:p w14:paraId="54F94D3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15.- Una vez contestada o no la demanda o la reconvención, el director del centro de arbitraje o el árbitro o árbitros independientes notificarán a las partes, señalando día y hora para que tenga lugar la audiencia de mediación a fin de procurar un avenimiento de las partes. En la audiencia podrán intervenir las partes, sus apoderados o representantes y podrán concurrir con sus abogados defensores. Esta audiencia se efectuará con la</w:t>
      </w:r>
    </w:p>
    <w:p w14:paraId="7B13E06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intervención de un mediador designado por el director del centro de arbitraje o el tribunal independiente, quien escuchará las exposiciones de los interesados, conocerá los documentos que exhibieren y tratará que lleguen a un acuerdo que ponga término a la controversia, lo cual constará en un acta que contendrá exclusivamente lo</w:t>
      </w:r>
    </w:p>
    <w:p w14:paraId="44952D8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convenido por las partes y no los incidentes, deliberaciones o propuestas realizadas en la audiencia. El acta en la que conste la mediación total o parcial de la controversia tiene efecto de sentencia ejecutoriada y de cosa juzgada</w:t>
      </w:r>
    </w:p>
    <w:p w14:paraId="29FF966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y se ejecutará del mismo modo que las sentencias de última instancia, siguiendo la vía de apremio, sin que el Juez ordinario acepte excepción alguna ni sea necesario iniciar un nuevo juicio.</w:t>
      </w:r>
    </w:p>
    <w:p w14:paraId="4D393CB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Si concurriere una sola de las partes será escuchada y se anotará la ausencia de la otra, a la que se declarará en rebeldía, lo que será tomado en cuenta para la condena en costas.</w:t>
      </w:r>
    </w:p>
    <w:p w14:paraId="27DB0FC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DESIGNACIÓN DE ÁRBITROS</w:t>
      </w:r>
    </w:p>
    <w:p w14:paraId="19F8E9D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16.- De no existir acuerdo total en la audiencia de mediación, el director del centro de arbitraje enviará a las</w:t>
      </w:r>
    </w:p>
    <w:p w14:paraId="7D3068F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partes la lista de árbitros, para que de común acuerdo designen en el término de tres días los árbitros principales y el alterno que deban integrar el tribunal.</w:t>
      </w:r>
    </w:p>
    <w:p w14:paraId="4538004F"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Los acuerdos parciales a que arriben las partes en la audiencia de mediación serán aprobados conforme a lo previsto en el artículo anterior.</w:t>
      </w:r>
    </w:p>
    <w:p w14:paraId="1070A74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Las partes, de común acuerdo, podrán designar árbitros de fuera de la lista presentada por el respectivo centro.</w:t>
      </w:r>
    </w:p>
    <w:p w14:paraId="4CCCFFD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Las partes podrán acordar expresamente y por escrito que sea un solo árbitro el que conozca de la controversia. Este árbitro tendrá su alterno.</w:t>
      </w:r>
    </w:p>
    <w:p w14:paraId="6F7FC0C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Si las partes no efectuaren la designación de alguno o varios árbitros o no se pusieren de acuerdo en ella, la designación se hará por sorteo, </w:t>
      </w:r>
      <w:r>
        <w:rPr>
          <w:rFonts w:ascii="Ubuntu" w:hAnsi="Ubuntu"/>
          <w:color w:val="323335"/>
          <w:sz w:val="27"/>
          <w:szCs w:val="27"/>
        </w:rPr>
        <w:lastRenderedPageBreak/>
        <w:t>para lo cual el director del centro de arbitraje notificará a las partes a fin de que, en la fecha y hora que se señale y ante el presidente del centro de arbitraje, se efectúe el sorteo, de cuya</w:t>
      </w:r>
    </w:p>
    <w:p w14:paraId="1313A52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diligencia se sentará el acta respectiva, quedando en esta forma legalmente integrado el tribunal de arbitraje.</w:t>
      </w:r>
    </w:p>
    <w:p w14:paraId="73B3A39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En tratándose de arbitraje independiente, las partes designarán en el convenio arbitral al árbitro o árbitros principales y al alterno que deban integrar el tribunal.</w:t>
      </w:r>
    </w:p>
    <w:p w14:paraId="4D98545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Si las partes no se pusieren de acuerdo para nombrar todos los árbitros, los designados, una vez posesionados, nombrarán a los que faltaren.</w:t>
      </w:r>
    </w:p>
    <w:p w14:paraId="67E952B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En el evento de que el árbitro o árbitros independientes no aceptaren o no se posesionaren de su cargo y los árbitros posesionados no se pusieren de acuerdo en el nombramiento de los árbitros que faltaren, cualquiera de las partes podrá pedir la designación de éstos al director del centro de arbitraje más cercano al domicilio del actor.</w:t>
      </w:r>
    </w:p>
    <w:p w14:paraId="7D173C0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Dicha designación se la hará conforme a lo establecido en el presente artículo.</w:t>
      </w:r>
    </w:p>
    <w:p w14:paraId="7F65C00F"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CONSTITUCIÓN DEL TRIBUNAL</w:t>
      </w:r>
    </w:p>
    <w:p w14:paraId="7D860D9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17.- E l tribunal se constituirá con tres árbitros principales y un alterno, quien intervendrá inmediatamente en el proceso en caso de falta, ausencia o impedimento definitivo de un principal. Los árbitros designados, dentro de tres días de haber sido notificados, deberán aceptar o no el cargo. Si guardan silencio se entenderá que no</w:t>
      </w:r>
    </w:p>
    <w:p w14:paraId="1AC4235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aceptan. Una vez aceptada la designación, los árbitros serán convocados por el director del centro para tomar posesión de sus cargos ante el presidente del centro de arbitraje y procederán a la designación del presidente y</w:t>
      </w:r>
    </w:p>
    <w:p w14:paraId="718D619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del secretario del Tribunal de lo cual se sentará la respectiva acta.</w:t>
      </w:r>
    </w:p>
    <w:p w14:paraId="57E6415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El presidente designado dirigirá la sustanciación del arbitraje y actuará como secretario del tribunal la persona designada por el tribunal de entre los constantes en la lista de secretarios del centro de arbitraje.</w:t>
      </w:r>
    </w:p>
    <w:p w14:paraId="37656BC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Para el caso de árbitros independientes el tribunal se posesionará ante un notario y actuará como secretario la persona designada por los propios árbitros.</w:t>
      </w:r>
    </w:p>
    <w:p w14:paraId="48E40AC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OBLIGACIÓN DE CUMPLIR EL ENCARGO DE ÁRBITRO</w:t>
      </w:r>
    </w:p>
    <w:p w14:paraId="6F7E668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18.- Aceptado por los árbitros el cargo de tales, éstos tienen la obligación irrestricta de cumplir las funciones que la presente Ley les asigna, debiendo responder a las partes, en caso de incumplimiento de sus funciones por los daños y. perjuicios que su acción u omisión les causare, a menos que se trate de un impedimento justificado.</w:t>
      </w:r>
    </w:p>
    <w:p w14:paraId="5F3155D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Si un árbitro dejase de constar en la lista mencionada en el artículo 41 continuará actuando como tal hasta la resolución de la controversia conocida por el Tribunal que integra.</w:t>
      </w:r>
    </w:p>
    <w:p w14:paraId="02B7D7E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INHABILIDADES PARA SER ÁRBITRO</w:t>
      </w:r>
    </w:p>
    <w:p w14:paraId="61E3745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lastRenderedPageBreak/>
        <w:t>Art. 19.- No podrán actuar como árbitros las personas que carezcan de capacidad para comparecer por sí mismas en juicio.</w:t>
      </w:r>
    </w:p>
    <w:p w14:paraId="6DF408C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Son causas de excusa de los árbitros las previstas en el Código de Procedimiento Civil para los jueces.</w:t>
      </w:r>
    </w:p>
    <w:p w14:paraId="46008CF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El árbitro que conociera que está incurso en inhabilidad para ejercer su cargo notificará inmediatamente al director del centro de arbitraje o a las partes que lo designaron para que procedan a reemplazarlo.</w:t>
      </w:r>
    </w:p>
    <w:p w14:paraId="1E2D744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REEMPLAZO DE ÁRBITROS</w:t>
      </w:r>
    </w:p>
    <w:p w14:paraId="50D3256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20.- En caso de que los árbitros designados estuvieran comprendidos en una de las inhabilidades previstas en el artículo anterior, se hará una nueva designación siguiendo el procedimiento previsto por el artículo 16, excluyendo a los árbitros inhabilitados.</w:t>
      </w:r>
    </w:p>
    <w:p w14:paraId="4F4FD20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Si por muerte, excusa justificada o cualquier otra causa llega a faltar definitivamente alguno de los árbitros, lo reemplazará el alterno quien se </w:t>
      </w:r>
      <w:proofErr w:type="spellStart"/>
      <w:r>
        <w:rPr>
          <w:rFonts w:ascii="Ubuntu" w:hAnsi="Ubuntu"/>
          <w:color w:val="323335"/>
          <w:sz w:val="27"/>
          <w:szCs w:val="27"/>
        </w:rPr>
        <w:t>principalizará</w:t>
      </w:r>
      <w:proofErr w:type="spellEnd"/>
      <w:r>
        <w:rPr>
          <w:rFonts w:ascii="Ubuntu" w:hAnsi="Ubuntu"/>
          <w:color w:val="323335"/>
          <w:sz w:val="27"/>
          <w:szCs w:val="27"/>
        </w:rPr>
        <w:t>. S e designará entonces otro alterno, en la misma forma establecida en el artículo 16.</w:t>
      </w:r>
    </w:p>
    <w:p w14:paraId="4439A4BF"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RECUSACIÓN DE ÁRBITROS</w:t>
      </w:r>
    </w:p>
    <w:p w14:paraId="7272086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21.- Son causas de recusación de los árbitros las previstas en el Código de Procedimiento Civil para los jueces.</w:t>
      </w:r>
    </w:p>
    <w:p w14:paraId="1BBA440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Si actuare en el tribunal quien estuviere impedido de hacerlo, podrá ser recusado por la parte interesada.</w:t>
      </w:r>
    </w:p>
    <w:p w14:paraId="53D0488F"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 recusación deberá ser resuelta:</w:t>
      </w:r>
    </w:p>
    <w:p w14:paraId="787C807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 En el caso de un tribunal colegiado, por aquellos no comprendidos en la demanda de recusación. Si éstos no se pusieren de acuerdo, la recusación deberá ser resuelta por el director del centro;</w:t>
      </w:r>
    </w:p>
    <w:p w14:paraId="5B5A6D3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b) E n el caso de que la recusación recayere sobre todos los árbitros, ésta deberá ser resuelta por el director del centro;</w:t>
      </w:r>
    </w:p>
    <w:p w14:paraId="371CB22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 En el caso de tribunal unipersonal la recusación deberá ser resuelta por el director del centro. Para su reemplazo se procederá en la misma forma establecida en el artículo 16;</w:t>
      </w:r>
    </w:p>
    <w:p w14:paraId="62EBF7A2"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 Para el caso de arbitraje independiente la recusación deberá ser resuelta por los miembros del tribunal que no han sido recusados; y,</w:t>
      </w:r>
    </w:p>
    <w:p w14:paraId="1187DDC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 S i fuere tribunal unipersonal o si la recusación recayere en todos los árbitros, ésta deberá ser resuelta por el director del centro de arbitraje más cercano al domicilio del actor.</w:t>
      </w:r>
    </w:p>
    <w:p w14:paraId="2454635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Los árbitros nombrados por acuerdo de las partes sólo podrán ser recusados por causales desconocidas al tiempo del nombramiento o sobrevinientes a la designación.</w:t>
      </w:r>
    </w:p>
    <w:p w14:paraId="54744CC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AUDIENCIA DE SUSTANCIACIÓN</w:t>
      </w:r>
    </w:p>
    <w:p w14:paraId="0CB293B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Art. 22.- Una vez constituido el Tribunal, se fijará día y hora para la audiencia de sustanciación en la que se posesionará el </w:t>
      </w:r>
      <w:proofErr w:type="gramStart"/>
      <w:r>
        <w:rPr>
          <w:rFonts w:ascii="Ubuntu" w:hAnsi="Ubuntu"/>
          <w:color w:val="323335"/>
          <w:sz w:val="27"/>
          <w:szCs w:val="27"/>
        </w:rPr>
        <w:t>Secretario</w:t>
      </w:r>
      <w:proofErr w:type="gramEnd"/>
      <w:r>
        <w:rPr>
          <w:rFonts w:ascii="Ubuntu" w:hAnsi="Ubuntu"/>
          <w:color w:val="323335"/>
          <w:sz w:val="27"/>
          <w:szCs w:val="27"/>
        </w:rPr>
        <w:t xml:space="preserve"> designado, se leerá el documento que contenga el convenio arbitral y el Tribunal resolverá sobre su propia competencia.</w:t>
      </w:r>
    </w:p>
    <w:p w14:paraId="39DA6F8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Si el Tribunal se declara competente ordenará que se practiquen en el término que el Tribunal señale las diligencias probatorias solicitadas </w:t>
      </w:r>
      <w:r>
        <w:rPr>
          <w:rFonts w:ascii="Ubuntu" w:hAnsi="Ubuntu"/>
          <w:color w:val="323335"/>
          <w:sz w:val="27"/>
          <w:szCs w:val="27"/>
        </w:rPr>
        <w:lastRenderedPageBreak/>
        <w:t>en la demanda, contestación, reconvención, modificación y contestación a</w:t>
      </w:r>
    </w:p>
    <w:p w14:paraId="0BF5A54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ésta, siempre que fueren pertinentes, actuaciones que deberán cumplirse durante el término señalado por el</w:t>
      </w:r>
    </w:p>
    <w:p w14:paraId="69D150D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Tribunal Arbitral.</w:t>
      </w:r>
    </w:p>
    <w:p w14:paraId="1E17BBC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Si las partes se encontraren presentes en la audiencia podrán precisar las pretensiones y los hechos en las que ésta se fundamenta.</w:t>
      </w:r>
    </w:p>
    <w:p w14:paraId="0F8B691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DILIGENCIA PARA MEJOR PROVEER</w:t>
      </w:r>
    </w:p>
    <w:p w14:paraId="724B0F6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23.- Si antes de la expedición del laudo, el Tribunal o las partes estiman que se necesitan otras pruebas o</w:t>
      </w:r>
    </w:p>
    <w:p w14:paraId="449B259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cualquier otra diligencia para el esclarecimiento de los hechos, de oficio o a petición de parte podrá ordenar que</w:t>
      </w:r>
    </w:p>
    <w:p w14:paraId="0EFE8BE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se practiquen señalando día y hora.</w:t>
      </w:r>
    </w:p>
    <w:p w14:paraId="564988D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AUDIENCIA DE ESTRADOS</w:t>
      </w:r>
    </w:p>
    <w:p w14:paraId="5E135FD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24.- Una vez practicadas las diligencias probatorias el Tribunal señalará día y hora para que las partes presenten sus alegatos en audiencia de estrados si es que lo solicitan.</w:t>
      </w:r>
    </w:p>
    <w:p w14:paraId="2851B79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DURACIÓN DEL ARBITRAJE</w:t>
      </w:r>
    </w:p>
    <w:p w14:paraId="61FD03E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25.- Una vez practicada la audiencia de sustanciación y declarada la competencia del tribunal, éste tendrá el término máximo de ciento cincuenta días para expedir el laudo.</w:t>
      </w:r>
    </w:p>
    <w:p w14:paraId="428CA6C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El término podrá prorrogarse, en casos estrictamente necesarios, hasta por un período igual, ya por acuerdo expreso de las partes, ya porque el tribunal lo declare de oficio.</w:t>
      </w:r>
    </w:p>
    <w:p w14:paraId="28E676D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26.- El laudo y demás decisiones del tribunal se expedirán por mayoría de votos. L as resoluciones deberán firmarlas todos los árbitros; el que no estuviere conforme con la opinión de los demás anotará su inconformidad a continuación de la resolución anterior y consignará su voto salvado, haciendo constar sus fundamentos.</w:t>
      </w:r>
    </w:p>
    <w:p w14:paraId="2C6A9E9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FIRMA DE LOS ÁRBITROS</w:t>
      </w:r>
    </w:p>
    <w:p w14:paraId="11535B2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27.- Si uno de los miembros del tribunal se rehusare o estuviere inhabilitado para firmar el laudo o cualquier</w:t>
      </w:r>
    </w:p>
    <w:p w14:paraId="45DBCB0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otra providencia o resolución, el secretario anotará este particular y firmarán los demás, sin que esta circunstancia anule o vicie la resolución.</w:t>
      </w:r>
    </w:p>
    <w:p w14:paraId="1C0843F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TRANSACCIÓN</w:t>
      </w:r>
    </w:p>
    <w:p w14:paraId="04249A6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28.- En el caso de que el arbitraje termine por transacción, ésta tendrá la misma naturaleza y efectos de un laudo arbitral debiendo constar por escrito y conforme al artículo 26 de esta Ley.</w:t>
      </w:r>
    </w:p>
    <w:p w14:paraId="0B4406F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CONOCIMIENTO DEL LAUDO</w:t>
      </w:r>
    </w:p>
    <w:p w14:paraId="4BCBBEE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29.- Las partes conocerán del laudo en audiencia, para el efecto el tribunal señalará día y hora en la cual se dará lectura del laudo y entregará copia a cada una de las partes.</w:t>
      </w:r>
    </w:p>
    <w:p w14:paraId="62681602"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INAPELABILIDAD DE LOS LAUDOS</w:t>
      </w:r>
    </w:p>
    <w:p w14:paraId="4E21465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lastRenderedPageBreak/>
        <w:t>Art. 30.- Los laudos arbitrales dictados por los tribunales de arbitraje son inapelables, pero podrán aclararse o ampliarse a petición de parte, antes de que el laudo se ejecutoríe, en el término de tres días después de que ha sido notificado a las partes. Dentro de este mismo término los árbitros podrán corregir errores numéricos, de</w:t>
      </w:r>
    </w:p>
    <w:p w14:paraId="6D95060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cálculo, tipográficos o de naturaleza similar. Las peticiones presentadas conforme a lo establecido en este artículo serán resueltas en el término de diez días contados a partir de su presentación.</w:t>
      </w:r>
    </w:p>
    <w:p w14:paraId="0914DC6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Los laudos arbitrales no serán susceptibles de ningún otro recurso que no establezca la presente Ley.</w:t>
      </w:r>
    </w:p>
    <w:p w14:paraId="005885E2"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NULIDAD DE LOS LAUDOS</w:t>
      </w:r>
    </w:p>
    <w:p w14:paraId="5F14EB7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31.- Cualquiera de las partes podrá intentar la acción de nulidad de un laudo arbitral, cuando:</w:t>
      </w:r>
    </w:p>
    <w:p w14:paraId="409B2A0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 No se haya citado legalmente con la demanda y el juicio se ha seguido y terminado en rebeldía. Será preciso que la falta de citación haya impedido que el demandado deduzca sus excepciones o haga valer sus</w:t>
      </w:r>
    </w:p>
    <w:p w14:paraId="1BA8FE7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derechos y, además, que el demandado reclame por tal omisión al tiempo de intervenir en la controversia; o, b) No se haya notificado a una de las partes con las providencias del tribunal y este hecho impida o limite el derecho de defensa de la parte; o,</w:t>
      </w:r>
    </w:p>
    <w:p w14:paraId="3D3677C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 Cuando no se hubiere convocado, no se hubiere notificado la convocatoria, o luego de convocada no se hubiere practicado las pruebas, a pesar de la existencia de hechos que deban justificarse; o,</w:t>
      </w:r>
    </w:p>
    <w:p w14:paraId="6D9E5D7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 El laudo se refiera a cuestiones no sometidas al arbitraje o conceda más allá de lo reclamado.</w:t>
      </w:r>
    </w:p>
    <w:p w14:paraId="6F73A8D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Este recurso se interpondrá ante el tribunal que conoció la causa y éste, a su vez, sin pronunciarse sobre la</w:t>
      </w:r>
    </w:p>
    <w:p w14:paraId="4320420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procedencia o improcedencia del mismo, remitirá el proceso al </w:t>
      </w:r>
      <w:proofErr w:type="gramStart"/>
      <w:r>
        <w:rPr>
          <w:rFonts w:ascii="Ubuntu" w:hAnsi="Ubuntu"/>
          <w:color w:val="323335"/>
          <w:sz w:val="27"/>
          <w:szCs w:val="27"/>
        </w:rPr>
        <w:t>Presidente</w:t>
      </w:r>
      <w:proofErr w:type="gramEnd"/>
      <w:r>
        <w:rPr>
          <w:rFonts w:ascii="Ubuntu" w:hAnsi="Ubuntu"/>
          <w:color w:val="323335"/>
          <w:sz w:val="27"/>
          <w:szCs w:val="27"/>
        </w:rPr>
        <w:t xml:space="preserve"> de la Corte Superior del Distrito del lugar del arbitraje para que conozca el recurso, dentro del término de tres días después de interpuesto.</w:t>
      </w:r>
    </w:p>
    <w:p w14:paraId="4790DF6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El </w:t>
      </w:r>
      <w:proofErr w:type="gramStart"/>
      <w:r>
        <w:rPr>
          <w:rFonts w:ascii="Ubuntu" w:hAnsi="Ubuntu"/>
          <w:color w:val="323335"/>
          <w:sz w:val="27"/>
          <w:szCs w:val="27"/>
        </w:rPr>
        <w:t>Presidente</w:t>
      </w:r>
      <w:proofErr w:type="gramEnd"/>
      <w:r>
        <w:rPr>
          <w:rFonts w:ascii="Ubuntu" w:hAnsi="Ubuntu"/>
          <w:color w:val="323335"/>
          <w:sz w:val="27"/>
          <w:szCs w:val="27"/>
        </w:rPr>
        <w:t xml:space="preserve"> de la Corte Superior, de ser el caso, dispondrá el sorteo para que sea conocida la causa por una de</w:t>
      </w:r>
    </w:p>
    <w:p w14:paraId="1BD65CD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las salas de la respectiva Corte Superior.</w:t>
      </w:r>
    </w:p>
    <w:p w14:paraId="09B54ED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Quien interponga el recurso de nulidad, podrá solicitar a los árbitros que se suspenda la ejecución del laudo,</w:t>
      </w:r>
    </w:p>
    <w:p w14:paraId="0B9E960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rindiendo caución suficiente sobre los perjuicios estimados que la demora en la ejecución del laudo pueda causar a la otra parte.</w:t>
      </w:r>
    </w:p>
    <w:p w14:paraId="5DEE510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Los árbitros, en el </w:t>
      </w:r>
      <w:proofErr w:type="spellStart"/>
      <w:r>
        <w:rPr>
          <w:rFonts w:ascii="Ubuntu" w:hAnsi="Ubuntu"/>
          <w:color w:val="323335"/>
          <w:sz w:val="27"/>
          <w:szCs w:val="27"/>
        </w:rPr>
        <w:t>termino</w:t>
      </w:r>
      <w:proofErr w:type="spellEnd"/>
      <w:r>
        <w:rPr>
          <w:rFonts w:ascii="Ubuntu" w:hAnsi="Ubuntu"/>
          <w:color w:val="323335"/>
          <w:sz w:val="27"/>
          <w:szCs w:val="27"/>
        </w:rPr>
        <w:t xml:space="preserve"> de tres días, deberán fijar el monto de la caución, disponiendo la suspensión de la ejecución del laudo.</w:t>
      </w:r>
    </w:p>
    <w:p w14:paraId="1AA836A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 caución deberá constituirse dentro del término de tres días, contados a partir de esta notificación.</w:t>
      </w:r>
    </w:p>
    <w:p w14:paraId="4245000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El recurso de nulidad podrá interponerse dentro del </w:t>
      </w:r>
      <w:proofErr w:type="spellStart"/>
      <w:r>
        <w:rPr>
          <w:rFonts w:ascii="Ubuntu" w:hAnsi="Ubuntu"/>
          <w:color w:val="323335"/>
          <w:sz w:val="27"/>
          <w:szCs w:val="27"/>
        </w:rPr>
        <w:t>termino</w:t>
      </w:r>
      <w:proofErr w:type="spellEnd"/>
      <w:r>
        <w:rPr>
          <w:rFonts w:ascii="Ubuntu" w:hAnsi="Ubuntu"/>
          <w:color w:val="323335"/>
          <w:sz w:val="27"/>
          <w:szCs w:val="27"/>
        </w:rPr>
        <w:t xml:space="preserve"> de diez días contados desde la fecha de la notificación del laudo.</w:t>
      </w:r>
    </w:p>
    <w:p w14:paraId="6C1EED3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lastRenderedPageBreak/>
        <w:t>EJECUCIÓN DEL LAUDO</w:t>
      </w:r>
    </w:p>
    <w:p w14:paraId="797EA38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32.- Ejecutoriado el laudo las partes deberán cumplirlo de inmediato.</w:t>
      </w:r>
    </w:p>
    <w:p w14:paraId="0A536DF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Cualquiera de las partes podrá pedir a los jueces ordinarios, que ordenen la ejecución del laudo o de las transacciones celebradas, presentando una copia certificada del laudo o acta transaccional, otorgada por el</w:t>
      </w:r>
    </w:p>
    <w:p w14:paraId="3DADADE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secretario del tribunal, el director del centro o del árbitro o árbitros, respectivamente con la razón de estar ejecutoriada. Los laudos arbitrales tienen efecto de sentencia ejecutoriada y de cosa juzgada y se ejecutarán del mismo modo</w:t>
      </w:r>
    </w:p>
    <w:p w14:paraId="4AF5AB0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que las sentencias de última instancia, siguiendo la vía de apremio, sin que el Juez de la ejecución acepte excepción alguna, salvo las que se originen con posterioridad a la expedición del laudo.</w:t>
      </w:r>
    </w:p>
    <w:p w14:paraId="4DAFB84F"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RECHAZO DE INCIDENTES</w:t>
      </w:r>
    </w:p>
    <w:p w14:paraId="693E9D7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33.- No podrán aceptarse en el curso del proceso incidentes que promuevan las partes, para retrasar el trámite o entorpecer cualquier diligencia. Las peticiones que en tal sentido se presentaren serán rechazadas con</w:t>
      </w:r>
    </w:p>
    <w:p w14:paraId="222AE3B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multa de diez a cien salarios mínimos vitales generales, que será fijada por el árbitro o árbitros.</w:t>
      </w:r>
    </w:p>
    <w:p w14:paraId="626F0AB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CONFIDENCIALIDAD DEL PROCESO ARBITRAL</w:t>
      </w:r>
    </w:p>
    <w:p w14:paraId="58FB1ED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34.- Las partes sin perjuicio de los derechos de terceros, podrán convenir en la confidencialidad del procedimiento arbitral, en este caso podrán entregarse copias de lo actuado solamente a las partes, sus abogados o al Juez que conozca el recurso de nulidad u otro recurso al que las partes se hayan sometido.</w:t>
      </w:r>
    </w:p>
    <w:p w14:paraId="34DC055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LUGAR DEL ARBITRAJE</w:t>
      </w:r>
    </w:p>
    <w:p w14:paraId="77C49FA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Art. 35.- </w:t>
      </w:r>
      <w:proofErr w:type="spellStart"/>
      <w:r>
        <w:rPr>
          <w:rFonts w:ascii="Ubuntu" w:hAnsi="Ubuntu"/>
          <w:color w:val="323335"/>
          <w:sz w:val="27"/>
          <w:szCs w:val="27"/>
        </w:rPr>
        <w:t>D e</w:t>
      </w:r>
      <w:proofErr w:type="spellEnd"/>
      <w:r>
        <w:rPr>
          <w:rFonts w:ascii="Ubuntu" w:hAnsi="Ubuntu"/>
          <w:color w:val="323335"/>
          <w:sz w:val="27"/>
          <w:szCs w:val="27"/>
        </w:rPr>
        <w:t xml:space="preserve"> no constar en el convenio, las partes podrán determinar libremente el lugar del arbitraje, y de no llegarse a un acuerdo podrá optarse por el lugar de los efectos del acto o contrato materia del arbitraje o el del domicilio del demandante a elección de éste, en caso de no existir Tribunal de arbitraje en uno de los referidos lugares, deberá acudirse al de la localidad más próxima.</w:t>
      </w:r>
    </w:p>
    <w:p w14:paraId="4D2DE8D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El tribunal competente podrá, salvo acuerdo en contrario de las partes, reunirse en cualquier lugar que estime apropiado para celebrar deliberaciones entre sus miembros, para oír a los testigos, a los peritos o las partes y para examinar cosas, lugares, evidencias o documentos.</w:t>
      </w:r>
    </w:p>
    <w:p w14:paraId="75496C4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Estas diligencias deberán ser notificadas a las partes, de acuerdo a lo establecido en esta Ley.</w:t>
      </w:r>
    </w:p>
    <w:p w14:paraId="1CCB84CF"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IDIOMA DEL ARBITRAJE</w:t>
      </w:r>
    </w:p>
    <w:p w14:paraId="46B2C8D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36.- Los procedimientos arbitrales se seguirán en castellano. E n caso de existir documentos en otros idiomas se presentarán traducidos de conformidad con la Ley.</w:t>
      </w:r>
    </w:p>
    <w:p w14:paraId="53D009E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NORMAS SUPLETORIAS</w:t>
      </w:r>
    </w:p>
    <w:p w14:paraId="6F18609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lastRenderedPageBreak/>
        <w:t>Art. 37.- En todo lo que no esté previsto en esta Ley, se aplicarán supletoriamente las normas del Código Civil, Código de Procedimiento Civil o Código de Comercio y otras leyes conexas, siempre que se trate, de arbitraje en derecho.</w:t>
      </w:r>
    </w:p>
    <w:p w14:paraId="153E8F3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PROCEDIMIENTO</w:t>
      </w:r>
    </w:p>
    <w:p w14:paraId="1C0935A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38.- El arbitraje se sujetará a las normas de procedimiento señaladas en esta Ley, al procedimiento establecido en los centros de arbitraje, al determinado en el convenio arbitral o al que las partes escojan, sin perjuicio de las normas supletorias que sean aplicables.</w:t>
      </w:r>
    </w:p>
    <w:p w14:paraId="285D21F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ORGANIZACIÓN DE CENTROS DE ARBITRAJE</w:t>
      </w:r>
    </w:p>
    <w:p w14:paraId="17EDAF3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39.- Para facilitar la aplicación de la presente Ley, las cámaras de la producción, asociaciones, agremiaciones, fundaciones e instituciones sin fines de lucro, podrán organizar centros de arbitraje, mismos que podrán funcionar previo registro en la Federación de Cámaras de Comercio del Ecuador. L a comprobación de la falta</w:t>
      </w:r>
    </w:p>
    <w:p w14:paraId="1467B5B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de cumplimiento de los requisitos establecidos en la presente Ley y su reglamento, por parte de un centro de</w:t>
      </w:r>
    </w:p>
    <w:p w14:paraId="69B1D93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arbitraje dará lugar a la cancelación del registro y su prohibición de funcionamiento.</w:t>
      </w:r>
    </w:p>
    <w:p w14:paraId="66E6AFE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Los centros de arbitraje existentes previos a la vigencia de esta Ley también deberán registrarse, sin perjuicio de continuar con su normal funcionamiento.</w:t>
      </w:r>
    </w:p>
    <w:p w14:paraId="3AF70F1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Los centros de arbitraje deberán contar con una sede dotada de elementos administrativos y técnicos necesarios para servir de apoyo a los juicios arbitrales y para dar capacitación a los árbitros, secretarios y mediadores que se designen de acuerdo a esta Ley.</w:t>
      </w:r>
    </w:p>
    <w:p w14:paraId="330B3EA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40.- Todo centro de arbitraje tendrá su propio reglamento que deberá regular al menos, los siguientes asuntos:</w:t>
      </w:r>
    </w:p>
    <w:p w14:paraId="516F36D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 L a manera de formular las listas de árbitros, secretarios y mediadores, las que tendrán una vigencia no superior a dos años, los requisitos que deben reunir las personas que las integren, y las causas de exclusión de ellas;</w:t>
      </w:r>
    </w:p>
    <w:p w14:paraId="32982D2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b) Tarifas de honorarios para árbitros, secretarios y mediadores y la forma de pago de éstas;</w:t>
      </w:r>
    </w:p>
    <w:p w14:paraId="1308F07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 Tarifas para gastos administrativos y la forma de pago de éstas;</w:t>
      </w:r>
    </w:p>
    <w:p w14:paraId="58FE8B2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 Forma de designar al director del centro, sus funciones y facultades; y,</w:t>
      </w:r>
    </w:p>
    <w:p w14:paraId="382E3E2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 Código de ética para los árbitros, secretarios y mediadores.</w:t>
      </w:r>
    </w:p>
    <w:p w14:paraId="61131AD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ARBITRAJE INTERNACIONAL</w:t>
      </w:r>
    </w:p>
    <w:p w14:paraId="34FA48B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41.- Sin perjuicio de lo dispuesto en los tratados internacionales un arbitraje podrá ser internacional cuando las partes así lo hubieren pactado, siempre y cuando se cumplan cualquiera de los siguientes requisitos:</w:t>
      </w:r>
    </w:p>
    <w:p w14:paraId="00C418F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 Que las partes al momento de la celebración del convenio arbitral, tengan sus domicilios en estados diferentes; o,</w:t>
      </w:r>
    </w:p>
    <w:p w14:paraId="7DFF04C2"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lastRenderedPageBreak/>
        <w:t>b) Cuando el lugar de cumplimiento de una parte sustancial de las obligaciones o el lugar en el cual el objeto del litigio tenga una relación más estrecha, esté situado fuera del estado en que, por lo menos una de las partes, tiene su domicilio; o,</w:t>
      </w:r>
    </w:p>
    <w:p w14:paraId="3B6693C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 Cuando el objeto del litigio se refiere a una operación de comercio internacional.</w:t>
      </w:r>
    </w:p>
    <w:p w14:paraId="6940A7C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REGULACIÓN</w:t>
      </w:r>
    </w:p>
    <w:p w14:paraId="7071D07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42.- El arbitraje internacional quedará regulado por los tratados, convenciones, protocolos y demás actos de derecho internacional suscritos y ratificados por el Ecuador.</w:t>
      </w:r>
    </w:p>
    <w:p w14:paraId="595653A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Toda persona natural o jurídica, pública o privada, sin restricción alguna es libre de estipular directamente o mediante referencia a un reglamento de arbitraje todo lo concerniente al procedimiento arbitral, incluyendo la constitución, la tramitación, el idioma, la legislación aplicable, la jurisdicción y la sede del tribunal, la cual podrá estar en el Ecuador o en país extranjero.</w:t>
      </w:r>
    </w:p>
    <w:p w14:paraId="5FD3BDA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Para que el Estado o las instituciones del sector público puedan someterse al arbitraje internacional se estará a lo dispuesto en la Constitución y Leyes de la República.</w:t>
      </w:r>
    </w:p>
    <w:p w14:paraId="591E976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Para que las diferentes entidades que conforman el sector público puedan someterse al arbitraje internacional se requerirá la autorización expresa de la máxima autoridad de la institución respectiva, previo el informe favorable</w:t>
      </w:r>
    </w:p>
    <w:p w14:paraId="05A393C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del Procurador General del Estado, salvo que el arbitraje estuviere previsto en instrumentos internacionales vigentes.</w:t>
      </w:r>
    </w:p>
    <w:p w14:paraId="6F68093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Los laudos dictados dentro de un procedimiento de arbitraje internacional, tendrán los mismos efectos y serán ejecutados de la misma forma que los laudos dictados en un procedimiento de arbitraje nacional.</w:t>
      </w:r>
    </w:p>
    <w:p w14:paraId="05363C0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Título II</w:t>
      </w:r>
    </w:p>
    <w:p w14:paraId="0CA8AEAF"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DE LA MEDIACIÓN</w:t>
      </w:r>
    </w:p>
    <w:p w14:paraId="3E422B8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Art. 43.- La mediación es un procedimiento de solución de conflictos por el cual las partes, asistidas por un tercero neutral llamado mediador, procuran un acuerdo voluntario, que verse sobre materia transigible, de carácter </w:t>
      </w:r>
      <w:proofErr w:type="spellStart"/>
      <w:r>
        <w:rPr>
          <w:rFonts w:ascii="Ubuntu" w:hAnsi="Ubuntu"/>
          <w:color w:val="323335"/>
          <w:sz w:val="27"/>
          <w:szCs w:val="27"/>
        </w:rPr>
        <w:t>extra-judicial</w:t>
      </w:r>
      <w:proofErr w:type="spellEnd"/>
      <w:r>
        <w:rPr>
          <w:rFonts w:ascii="Ubuntu" w:hAnsi="Ubuntu"/>
          <w:color w:val="323335"/>
          <w:sz w:val="27"/>
          <w:szCs w:val="27"/>
        </w:rPr>
        <w:t xml:space="preserve"> y definitivo, que ponga fin al conflicto.</w:t>
      </w:r>
    </w:p>
    <w:p w14:paraId="0B8C4CC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44.- L a mediación podrá solicitarse a los Centros de Mediación o a mediadores independientes debidamente autorizados.</w:t>
      </w:r>
    </w:p>
    <w:p w14:paraId="206A68B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Podrán someterse al procedimiento de mediación que establece la presente Ley, sin restricción alguna, las personas naturales o jurídicas, públicas o privadas, legalmente capaces para transigir.</w:t>
      </w:r>
    </w:p>
    <w:p w14:paraId="2D4079C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El Estado o las instituciones del sector público podrán someterse a mediación, a través del personero facultado para contratar a nombre de la institución respectiva. La facultad del personero podrá delegarse mediante poder.</w:t>
      </w:r>
    </w:p>
    <w:p w14:paraId="1D8C380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lastRenderedPageBreak/>
        <w:t>Art. 45.- La solicitud de mediación se consignará por escrito y deberá contener la designación de las partes, su dirección domiciliaria, sus números telefónicos si fuera posible, y una breve determinación de la naturaleza del conflicto.</w:t>
      </w:r>
    </w:p>
    <w:p w14:paraId="274D7C7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46.- La mediación podrá proceder:</w:t>
      </w:r>
    </w:p>
    <w:p w14:paraId="62ACD5F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 Cuando exista convenio escrito entre las partes para someter sus conflictos a mediación. L os jueces ordinarios no podrán conocer demandas que versen sobre el conflicto materia del convenio, a menos que</w:t>
      </w:r>
    </w:p>
    <w:p w14:paraId="1B9964C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exista acta de imposibilidad de acuerdo o renuncia escrita de las partes al convenio de mediación. En estos casos cualesquiera de ellas puede acudir con su reclamación al órgano judicial competente. S e entenderá que la renuncia existe cuando presentada una demanda ante un órgano judicial el demandado no opone la excepción de existencia de un convenio de mediación. E l órgano judicial deberá resolver esta excepción corriendo traslado a la otra parte y exigiendo a los litigantes la prueba de sus afirmaciones en el término de tres días contados desde la notificación. S i prosperare esta excepción deberá ordenarse el archivo de la</w:t>
      </w:r>
    </w:p>
    <w:p w14:paraId="66BC36C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causa, caso contrario se sustanciará el proceso según las reglas generales;</w:t>
      </w:r>
    </w:p>
    <w:p w14:paraId="5D8D6BB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b) A solicitud de las partes o de una de ellas; y,</w:t>
      </w:r>
    </w:p>
    <w:p w14:paraId="156B4BD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 Cuando el Juez ordinario disponga en cualquier estado de la causa, de oficio o a petición de parte, que se</w:t>
      </w:r>
    </w:p>
    <w:p w14:paraId="504A301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realice una audiencia de mediación ante un centro de mediación, siempre que las partes lo acepten.</w:t>
      </w:r>
    </w:p>
    <w:p w14:paraId="4923647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Si dentro del término de quince días contados desde la recepción por parte del centro de la notificación del Juez, no se presentare el acta que contenga el acuerdo, continuará la tramitación de la causa, a menos que las partes comuniquen por escrito al Juez su decisión de ampliar dicho término.</w:t>
      </w:r>
    </w:p>
    <w:p w14:paraId="6DD1934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47.- El procedimiento de mediación concluye con la firma de un acta en la que conste el acuerdo total o parcial, o en su defecto, la imposibilidad de lograrlo.</w:t>
      </w:r>
    </w:p>
    <w:p w14:paraId="1C0BDC2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En caso de lograrse el acuerdo, el acta respectiva contendrá por lo menos una relación de los hechos que originaron el conflicto, una descripción clara de las obligaciones a cargo de cada una de las partes y contendrán las firmas o huellas digitales de las partes y la firma del mediador.</w:t>
      </w:r>
    </w:p>
    <w:p w14:paraId="0E0A1B4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Por la sola firma del mediador se presume que el documento y las firmas contenidas en </w:t>
      </w:r>
      <w:proofErr w:type="gramStart"/>
      <w:r>
        <w:rPr>
          <w:rFonts w:ascii="Ubuntu" w:hAnsi="Ubuntu"/>
          <w:color w:val="323335"/>
          <w:sz w:val="27"/>
          <w:szCs w:val="27"/>
        </w:rPr>
        <w:t>éste</w:t>
      </w:r>
      <w:proofErr w:type="gramEnd"/>
      <w:r>
        <w:rPr>
          <w:rFonts w:ascii="Ubuntu" w:hAnsi="Ubuntu"/>
          <w:color w:val="323335"/>
          <w:sz w:val="27"/>
          <w:szCs w:val="27"/>
        </w:rPr>
        <w:t xml:space="preserve"> son auténticas.</w:t>
      </w:r>
    </w:p>
    <w:p w14:paraId="34C5AC2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El acta de mediación en que conste el acuerdo tiene efecto de sentencia ejecutoriada y cosa juzgada y se ejecutará del mismo modo que las sentencias de última instancia siguiendo la vía de apremio, sin </w:t>
      </w:r>
      <w:r>
        <w:rPr>
          <w:rFonts w:ascii="Ubuntu" w:hAnsi="Ubuntu"/>
          <w:color w:val="323335"/>
          <w:sz w:val="27"/>
          <w:szCs w:val="27"/>
        </w:rPr>
        <w:lastRenderedPageBreak/>
        <w:t>que el Juez de la ejecución acepte excepción alguna, salvo las que se originen con posterioridad a la suscripción del acta de mediación.</w:t>
      </w:r>
    </w:p>
    <w:p w14:paraId="1E6AAFA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Si el acuerdo fuere parcial, las partes podrán discutir en juicio únicamente las diferencias que no han sido parte del acuerdo. En el caso de que no se llegare a ningún acuerdo, el acta de imposibilidad firmada por las partes que hayan concurrido a la audiencia y el mediador podrá ser presentada por la parte interesada dentro de un proceso arbitral o judicial, y esta suplirá la audiencia o junta de mediación o conciliación prevista en estos procesos.</w:t>
      </w:r>
    </w:p>
    <w:p w14:paraId="7DE0B4A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No obstante, se mantendrá cualquier otra diligencia que deba realizarse dentro de esta etapa en los procesos judiciales, como la contestación a la demanda en el juicio verbal sumario.</w:t>
      </w:r>
    </w:p>
    <w:p w14:paraId="307FBD4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En los asuntos de menores y alimentos, el acuerdo a que se llegue mediante un procedimiento de mediación, será susceptible de revisión por las partes, conforme con los principios generales contenidos en las normas del Código de Menores y otras leyes relativas a los fallos en estas materias.</w:t>
      </w:r>
    </w:p>
    <w:p w14:paraId="2F8DB08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48.- L a mediación prevista en esta ley podrá llevarse a cabo válidamente ante un mediador de un centro o un mediador independiente debidamente autorizado.</w:t>
      </w:r>
    </w:p>
    <w:p w14:paraId="69B8F89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Para estar habilitado para actuar como mediador independiente o de un centro, en los casos previstos en esta ley, deberá contarse con la autorización escrita de un centro de mediación. Esta autorización se fundamentará en los cursos académicos o pasantías que haya recibido el aspirante a mediador.</w:t>
      </w:r>
    </w:p>
    <w:p w14:paraId="782492E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El centro de mediación o el mediador independiente tendrá la facultad para expedir copias auténticas del acta de mediación.</w:t>
      </w:r>
    </w:p>
    <w:p w14:paraId="2E2401D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49.- Quien actúe como mediador durante un conflicto queda inhabilitado para intervenir en cualquier proceso judicial o arbitral relacionado con el conflicto objeto de la mediación, ya sea como árbitro, abogado, asesor, apoderado o testigo de alguna de las partes.</w:t>
      </w:r>
    </w:p>
    <w:p w14:paraId="3667FDE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proofErr w:type="gramStart"/>
      <w:r>
        <w:rPr>
          <w:rFonts w:ascii="Ubuntu" w:hAnsi="Ubuntu"/>
          <w:color w:val="323335"/>
          <w:sz w:val="27"/>
          <w:szCs w:val="27"/>
        </w:rPr>
        <w:t>Además</w:t>
      </w:r>
      <w:proofErr w:type="gramEnd"/>
      <w:r>
        <w:rPr>
          <w:rFonts w:ascii="Ubuntu" w:hAnsi="Ubuntu"/>
          <w:color w:val="323335"/>
          <w:sz w:val="27"/>
          <w:szCs w:val="27"/>
        </w:rPr>
        <w:t xml:space="preserve"> por ningún motivo podrá ser llamado a declarar en juicio sobre el conflicto objeto de la mediación.</w:t>
      </w:r>
    </w:p>
    <w:p w14:paraId="4E8494D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50.- La mediación tiene carácter confidencial.</w:t>
      </w:r>
    </w:p>
    <w:p w14:paraId="4F4E8A4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Los que en ella participen deberán mantener la debida reserva.</w:t>
      </w:r>
    </w:p>
    <w:p w14:paraId="131B393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Las fórmulas de acuerdo que se propongan o ventilen no incidirán en el proceso arbitral o judicial subsecuente, si tuviere lugar.</w:t>
      </w:r>
    </w:p>
    <w:p w14:paraId="166E6C51"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Las partes pueden, de común acuerdo, renunciar a la confidencialidad.</w:t>
      </w:r>
    </w:p>
    <w:p w14:paraId="253E0C8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51.- S i alguna de las partes no comparece a la audiencia de mediación a la que fuere convocada, se señalará fecha para una nueva audiencia. S i en la segunda oportunidad alguna de las partes no comparece, el mediador expedirá la constancia de imposibilidad de mediación.</w:t>
      </w:r>
    </w:p>
    <w:p w14:paraId="5873A49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Art. 52.- Los gobiernos locales de naturaleza municipal o provincial, las cámaras de la producción, asociaciones, agremiaciones, fundaciones e </w:t>
      </w:r>
      <w:r>
        <w:rPr>
          <w:rFonts w:ascii="Ubuntu" w:hAnsi="Ubuntu"/>
          <w:color w:val="323335"/>
          <w:sz w:val="27"/>
          <w:szCs w:val="27"/>
        </w:rPr>
        <w:lastRenderedPageBreak/>
        <w:t>instituciones sin fines de lucro y, en general, las organizaciones comunitarias, podrán organizar centros de mediación, los cuales podrán funcionar previo registro en el Consejo Nacional de la Judicatura. La comprobación de la falta de cumplimiento de los requisitos establecidos en la presente Ley y</w:t>
      </w:r>
    </w:p>
    <w:p w14:paraId="677DC68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su reglamento, por parte de un centro de mediación dará lugar a la cancelación del registro y su prohibición de funcionamiento.</w:t>
      </w:r>
    </w:p>
    <w:p w14:paraId="5F3670E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53.- Los centros de mediación que se establecieren deberán contar con una sede dotada de elementos</w:t>
      </w:r>
    </w:p>
    <w:p w14:paraId="46952BE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administrativos y técnicos necesarios para servir de apoyo para las audiencias.</w:t>
      </w:r>
    </w:p>
    <w:p w14:paraId="63C2E1D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Los centros que desarrollen actividades de capacitación para mediadores deberán contar con el aval académico de una institución universitaria.</w:t>
      </w:r>
    </w:p>
    <w:p w14:paraId="465DC3A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54.- Los reglamentos de los centros de mediación deberán establecer por lo menos:</w:t>
      </w:r>
    </w:p>
    <w:p w14:paraId="162898E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 La manera de formular las listas de mediadores y los requisitos que deben reunir, las causas de exclusión de ellas, los trámites de inscripción y forma de hacer su designación para cada caso;</w:t>
      </w:r>
    </w:p>
    <w:p w14:paraId="2E7E42E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b) Tarifas de honorarios del mediador, de gastos administrativos y la forma de pago de éstos, sin perjuicio de que pueda establecerse la gratuidad del servicio;</w:t>
      </w:r>
    </w:p>
    <w:p w14:paraId="3CD8D30F"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c) Forma de designar al director, sus funciones y facultades;</w:t>
      </w:r>
    </w:p>
    <w:p w14:paraId="6525C30F"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 Descripción del manejo administrativo de la mediación; y,</w:t>
      </w:r>
    </w:p>
    <w:p w14:paraId="74B903C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 U n código de ética de los mediadores.</w:t>
      </w:r>
    </w:p>
    <w:p w14:paraId="78D276E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55.- La conciliación extrajudicial es un mecanismo alternativo para la solución de conflictos. Para efectos de</w:t>
      </w:r>
    </w:p>
    <w:p w14:paraId="3D2964B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proofErr w:type="gramStart"/>
      <w:r>
        <w:rPr>
          <w:rFonts w:ascii="Ubuntu" w:hAnsi="Ubuntu"/>
          <w:color w:val="323335"/>
          <w:sz w:val="27"/>
          <w:szCs w:val="27"/>
        </w:rPr>
        <w:t>la aplicación de esta Ley se entenderán</w:t>
      </w:r>
      <w:proofErr w:type="gramEnd"/>
      <w:r>
        <w:rPr>
          <w:rFonts w:ascii="Ubuntu" w:hAnsi="Ubuntu"/>
          <w:color w:val="323335"/>
          <w:sz w:val="27"/>
          <w:szCs w:val="27"/>
        </w:rPr>
        <w:t xml:space="preserve"> a la mediación y la conciliación extrajudicial como sinónimos.</w:t>
      </w:r>
    </w:p>
    <w:p w14:paraId="7808F19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56.- Los jueces ordinarios no podrán ser acusados de prevaricato, recusados, ni sujetos a queja por haber propuesto fórmulas de arreglo entre las partes en las audiencias o juntas de conciliación.</w:t>
      </w:r>
    </w:p>
    <w:p w14:paraId="0A28B0B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57.- En caso de no realizarse el pago de los honorarios y gastos administrativos conforme a lo establecido en</w:t>
      </w:r>
    </w:p>
    <w:p w14:paraId="560FBFA2"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la ley y el reglamento del centro de mediación este quedará en libertad de no prestar sus servicios.</w:t>
      </w:r>
    </w:p>
    <w:p w14:paraId="3537865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Título III</w:t>
      </w:r>
    </w:p>
    <w:p w14:paraId="2E288A7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DE LA MEDIACIÓN COMUNITARIA</w:t>
      </w:r>
    </w:p>
    <w:p w14:paraId="64541A0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58.- Se reconoce la mediación comunitaria como un mecanismo alternativo para la solución de conflictos.</w:t>
      </w:r>
    </w:p>
    <w:p w14:paraId="09770D2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59.- Las comunidades indígenas y negras, las organizaciones barriales y en general las organizaciones comunitarias podrán establecer centros de mediación para sus miembros, aun con carácter gratuito, de conformidad con las normas de la presente Ley.</w:t>
      </w:r>
    </w:p>
    <w:p w14:paraId="37407B1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lastRenderedPageBreak/>
        <w:t>Los acuerdos o soluciones que pongan fin a conflictos en virtud de un procedimiento de mediación comunitario tendrán el mismo valor y efecto que los alcanzados en el procedimiento de mediación establecido en esta Ley.</w:t>
      </w:r>
    </w:p>
    <w:p w14:paraId="3FC00198"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Los centros de mediación, de acuerdo a las normas de esta Ley, podrán ofrecer servicios de capacitación apropiados para los mediadores comunitarios, considerando las peculiaridades socio-económicas, culturales y antropológicas de las comunidades atendidas.</w:t>
      </w:r>
    </w:p>
    <w:p w14:paraId="4409F9F0"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DISPOSICIONES GENERALES</w:t>
      </w:r>
    </w:p>
    <w:p w14:paraId="4DC63E3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60.- La presente Ley por su carácter de especial prevalecerá sobre cualquier otra que se le opusiere.</w:t>
      </w:r>
    </w:p>
    <w:p w14:paraId="494E59A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Art. 61.- El </w:t>
      </w:r>
      <w:proofErr w:type="gramStart"/>
      <w:r>
        <w:rPr>
          <w:rFonts w:ascii="Ubuntu" w:hAnsi="Ubuntu"/>
          <w:color w:val="323335"/>
          <w:sz w:val="27"/>
          <w:szCs w:val="27"/>
        </w:rPr>
        <w:t>Presidente</w:t>
      </w:r>
      <w:proofErr w:type="gramEnd"/>
      <w:r>
        <w:rPr>
          <w:rFonts w:ascii="Ubuntu" w:hAnsi="Ubuntu"/>
          <w:color w:val="323335"/>
          <w:sz w:val="27"/>
          <w:szCs w:val="27"/>
        </w:rPr>
        <w:t xml:space="preserve"> de la República, en uso de las facultades que le confiere la Constitución Política, expedirá</w:t>
      </w:r>
    </w:p>
    <w:p w14:paraId="5DD2AEBD"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en el plazo de noventa días el correspondiente reglamento para la aplicación de esta Ley.</w:t>
      </w:r>
    </w:p>
    <w:p w14:paraId="76867CA5"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DISPOSICIONES TRANSITORIAS</w:t>
      </w:r>
    </w:p>
    <w:p w14:paraId="2068CD0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62.- Las normas de la presente Ley se aplicarán inclusive a aquellos convenios arbitrales suscritos con anterioridad a su vigencia, siempre que el procedimiento arbitral no haya comenzado.</w:t>
      </w:r>
    </w:p>
    <w:p w14:paraId="6F8EBF4A"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63.- Las instituciones que cuenten con un centro de mediación previo a la vigencia de esta Ley, necesitarán registrar al centro, sin perjuicio de continuar con su normal funcionamiento.</w:t>
      </w:r>
    </w:p>
    <w:p w14:paraId="524D5EB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Art. 64.- Hasta que el Consejo Nacional de la Judicatura esté integrado o tenga sus delegaciones o representaciones en las provincias, cumplirán las funciones que le asignen esta Ley, las Cortes Superiores.</w:t>
      </w:r>
    </w:p>
    <w:p w14:paraId="7D383F04"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t>DEROGATORIAS</w:t>
      </w:r>
    </w:p>
    <w:p w14:paraId="71D66BCB"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proofErr w:type="spellStart"/>
      <w:r>
        <w:rPr>
          <w:rFonts w:ascii="Ubuntu" w:hAnsi="Ubuntu"/>
          <w:color w:val="323335"/>
          <w:sz w:val="27"/>
          <w:szCs w:val="27"/>
        </w:rPr>
        <w:t>Derógase</w:t>
      </w:r>
      <w:proofErr w:type="spellEnd"/>
      <w:r>
        <w:rPr>
          <w:rFonts w:ascii="Ubuntu" w:hAnsi="Ubuntu"/>
          <w:color w:val="323335"/>
          <w:sz w:val="27"/>
          <w:szCs w:val="27"/>
        </w:rPr>
        <w:t xml:space="preserve"> la Ley de Arbitraje Comercial dictada mediante Decreto Supremo N o. 735 de 23 de octubre de 1963 y publicada en el Registro Oficial No. 90 de 28 de octubre de 1963.</w:t>
      </w:r>
    </w:p>
    <w:p w14:paraId="49F247F3"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proofErr w:type="spellStart"/>
      <w:r>
        <w:rPr>
          <w:rFonts w:ascii="Ubuntu" w:hAnsi="Ubuntu"/>
          <w:color w:val="323335"/>
          <w:sz w:val="27"/>
          <w:szCs w:val="27"/>
        </w:rPr>
        <w:t>Derógase</w:t>
      </w:r>
      <w:proofErr w:type="spellEnd"/>
      <w:r>
        <w:rPr>
          <w:rFonts w:ascii="Ubuntu" w:hAnsi="Ubuntu"/>
          <w:color w:val="323335"/>
          <w:sz w:val="27"/>
          <w:szCs w:val="27"/>
        </w:rPr>
        <w:t xml:space="preserve"> la Sección XXX del Título II del Libro II del Código de Procedimiento Civil.</w:t>
      </w:r>
    </w:p>
    <w:p w14:paraId="6EBF2332"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proofErr w:type="spellStart"/>
      <w:r>
        <w:rPr>
          <w:rFonts w:ascii="Ubuntu" w:hAnsi="Ubuntu"/>
          <w:color w:val="323335"/>
          <w:sz w:val="27"/>
          <w:szCs w:val="27"/>
        </w:rPr>
        <w:t>Derógase</w:t>
      </w:r>
      <w:proofErr w:type="spellEnd"/>
      <w:r>
        <w:rPr>
          <w:rFonts w:ascii="Ubuntu" w:hAnsi="Ubuntu"/>
          <w:color w:val="323335"/>
          <w:sz w:val="27"/>
          <w:szCs w:val="27"/>
        </w:rPr>
        <w:t xml:space="preserve"> la Sección XV del Título I de la Ley Orgánica de la Función Judicial.</w:t>
      </w:r>
    </w:p>
    <w:p w14:paraId="35B620E9"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proofErr w:type="spellStart"/>
      <w:r>
        <w:rPr>
          <w:rFonts w:ascii="Ubuntu" w:hAnsi="Ubuntu"/>
          <w:color w:val="323335"/>
          <w:sz w:val="27"/>
          <w:szCs w:val="27"/>
        </w:rPr>
        <w:t>Derógase</w:t>
      </w:r>
      <w:proofErr w:type="spellEnd"/>
      <w:r>
        <w:rPr>
          <w:rFonts w:ascii="Ubuntu" w:hAnsi="Ubuntu"/>
          <w:color w:val="323335"/>
          <w:sz w:val="27"/>
          <w:szCs w:val="27"/>
        </w:rPr>
        <w:t xml:space="preserve"> el artículo 21 de la Ley Orgánica del Ministerio Público.</w:t>
      </w:r>
    </w:p>
    <w:p w14:paraId="27196C47"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proofErr w:type="spellStart"/>
      <w:r>
        <w:rPr>
          <w:rFonts w:ascii="Ubuntu" w:hAnsi="Ubuntu"/>
          <w:color w:val="323335"/>
          <w:sz w:val="27"/>
          <w:szCs w:val="27"/>
        </w:rPr>
        <w:t>Derógase</w:t>
      </w:r>
      <w:proofErr w:type="spellEnd"/>
      <w:r>
        <w:rPr>
          <w:rFonts w:ascii="Ubuntu" w:hAnsi="Ubuntu"/>
          <w:color w:val="323335"/>
          <w:sz w:val="27"/>
          <w:szCs w:val="27"/>
        </w:rPr>
        <w:t xml:space="preserve"> la interpretación realizada al artículo 1505 del C digo Civil en el Decreto Supremo N o. 797-B, publicado en el Registro Oficial No. 193 de 15 de octubre de 1976.</w:t>
      </w:r>
    </w:p>
    <w:p w14:paraId="155BAD46"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proofErr w:type="spellStart"/>
      <w:r>
        <w:rPr>
          <w:rFonts w:ascii="Ubuntu" w:hAnsi="Ubuntu"/>
          <w:color w:val="323335"/>
          <w:sz w:val="27"/>
          <w:szCs w:val="27"/>
        </w:rPr>
        <w:t>Derógase</w:t>
      </w:r>
      <w:proofErr w:type="spellEnd"/>
      <w:r>
        <w:rPr>
          <w:rFonts w:ascii="Ubuntu" w:hAnsi="Ubuntu"/>
          <w:color w:val="323335"/>
          <w:sz w:val="27"/>
          <w:szCs w:val="27"/>
        </w:rPr>
        <w:t xml:space="preserve"> en el artículo 1505 del Código Civil, la frase: “Así la promesa de someterse en el Ecuador a una jurisdicción no reconocida por las leyes ecuatorianas, es nula por vicio del objeto”.</w:t>
      </w:r>
    </w:p>
    <w:p w14:paraId="791302D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 xml:space="preserve">Artículo </w:t>
      </w:r>
      <w:proofErr w:type="gramStart"/>
      <w:r>
        <w:rPr>
          <w:rFonts w:ascii="Ubuntu" w:hAnsi="Ubuntu"/>
          <w:color w:val="323335"/>
          <w:sz w:val="27"/>
          <w:szCs w:val="27"/>
        </w:rPr>
        <w:t>Final.-</w:t>
      </w:r>
      <w:proofErr w:type="gramEnd"/>
      <w:r>
        <w:rPr>
          <w:rFonts w:ascii="Ubuntu" w:hAnsi="Ubuntu"/>
          <w:color w:val="323335"/>
          <w:sz w:val="27"/>
          <w:szCs w:val="27"/>
        </w:rPr>
        <w:t xml:space="preserve"> La presente Ley entrará en vigencia a partir de su publicación en el Registro Oficial.</w:t>
      </w:r>
    </w:p>
    <w:p w14:paraId="6961A71C"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Fonts w:ascii="Ubuntu" w:hAnsi="Ubuntu"/>
          <w:color w:val="323335"/>
          <w:sz w:val="27"/>
          <w:szCs w:val="27"/>
        </w:rPr>
        <w:t>Dada en la ciudad de San Francisco de Quito, Distrito Metropolitano, en la Sala de Sesiones del Congreso Nacional del Ecuador, a los veintiún días del mes de agosto de mil novecientos noventa y siete.</w:t>
      </w:r>
    </w:p>
    <w:p w14:paraId="6254BA4E" w14:textId="77777777" w:rsidR="00A15F08" w:rsidRDefault="00A15F08" w:rsidP="00A15F08">
      <w:pPr>
        <w:pStyle w:val="NormalWeb"/>
        <w:shd w:val="clear" w:color="auto" w:fill="FFFFFF"/>
        <w:spacing w:before="0" w:beforeAutospacing="0" w:after="0" w:afterAutospacing="0"/>
        <w:jc w:val="both"/>
        <w:rPr>
          <w:rFonts w:ascii="Ubuntu" w:hAnsi="Ubuntu"/>
          <w:color w:val="323335"/>
          <w:sz w:val="27"/>
          <w:szCs w:val="27"/>
        </w:rPr>
      </w:pPr>
      <w:r>
        <w:rPr>
          <w:rStyle w:val="Textoennegrita"/>
          <w:rFonts w:ascii="Ubuntu" w:hAnsi="Ubuntu"/>
          <w:color w:val="323335"/>
        </w:rPr>
        <w:lastRenderedPageBreak/>
        <w:t>JB/ia-01-09-2009/96</w:t>
      </w:r>
    </w:p>
    <w:p w14:paraId="149E3AA6" w14:textId="7BE70222" w:rsidR="00E521B9" w:rsidRDefault="00E521B9" w:rsidP="00D9699E">
      <w:pPr>
        <w:jc w:val="both"/>
      </w:pPr>
    </w:p>
    <w:p w14:paraId="08035398" w14:textId="77777777" w:rsidR="00644CDF" w:rsidRDefault="00644CDF" w:rsidP="00644CDF">
      <w:pPr>
        <w:jc w:val="both"/>
      </w:pPr>
    </w:p>
    <w:p w14:paraId="2EF7C680" w14:textId="77777777" w:rsidR="00644CDF" w:rsidRDefault="00644CDF">
      <w:pPr>
        <w:jc w:val="both"/>
      </w:pPr>
    </w:p>
    <w:sectPr w:rsidR="00644C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DF"/>
    <w:rsid w:val="00644CDF"/>
    <w:rsid w:val="00A15F08"/>
    <w:rsid w:val="00B53E27"/>
    <w:rsid w:val="00D9699E"/>
    <w:rsid w:val="00DB3B88"/>
    <w:rsid w:val="00E521B9"/>
    <w:rsid w:val="00E56B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0B29"/>
  <w15:chartTrackingRefBased/>
  <w15:docId w15:val="{B8A38432-93B5-4630-B33E-7AE19C46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53E27"/>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9699E"/>
    <w:rPr>
      <w:color w:val="0000FF"/>
      <w:u w:val="single"/>
    </w:rPr>
  </w:style>
  <w:style w:type="paragraph" w:customStyle="1" w:styleId="2rjol">
    <w:name w:val="_2rjol"/>
    <w:basedOn w:val="Normal"/>
    <w:rsid w:val="00D9699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3Car">
    <w:name w:val="Título 3 Car"/>
    <w:basedOn w:val="Fuentedeprrafopredeter"/>
    <w:link w:val="Ttulo3"/>
    <w:uiPriority w:val="9"/>
    <w:rsid w:val="00B53E27"/>
    <w:rPr>
      <w:rFonts w:ascii="Times New Roman" w:eastAsia="Times New Roman" w:hAnsi="Times New Roman" w:cs="Times New Roman"/>
      <w:b/>
      <w:bCs/>
      <w:sz w:val="27"/>
      <w:szCs w:val="27"/>
      <w:lang w:eastAsia="es-EC"/>
    </w:rPr>
  </w:style>
  <w:style w:type="character" w:styleId="Textoennegrita">
    <w:name w:val="Strong"/>
    <w:basedOn w:val="Fuentedeprrafopredeter"/>
    <w:uiPriority w:val="22"/>
    <w:qFormat/>
    <w:rsid w:val="00B53E27"/>
    <w:rPr>
      <w:b/>
      <w:bCs/>
    </w:rPr>
  </w:style>
  <w:style w:type="paragraph" w:styleId="NormalWeb">
    <w:name w:val="Normal (Web)"/>
    <w:basedOn w:val="Normal"/>
    <w:uiPriority w:val="99"/>
    <w:semiHidden/>
    <w:unhideWhenUsed/>
    <w:rsid w:val="00B53E2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text-align-center">
    <w:name w:val="text-align-center"/>
    <w:basedOn w:val="Normal"/>
    <w:rsid w:val="00B53E27"/>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3411">
      <w:bodyDiv w:val="1"/>
      <w:marLeft w:val="0"/>
      <w:marRight w:val="0"/>
      <w:marTop w:val="0"/>
      <w:marBottom w:val="0"/>
      <w:divBdr>
        <w:top w:val="none" w:sz="0" w:space="0" w:color="auto"/>
        <w:left w:val="none" w:sz="0" w:space="0" w:color="auto"/>
        <w:bottom w:val="none" w:sz="0" w:space="0" w:color="auto"/>
        <w:right w:val="none" w:sz="0" w:space="0" w:color="auto"/>
      </w:divBdr>
      <w:divsChild>
        <w:div w:id="1487623993">
          <w:marLeft w:val="0"/>
          <w:marRight w:val="0"/>
          <w:marTop w:val="0"/>
          <w:marBottom w:val="0"/>
          <w:divBdr>
            <w:top w:val="none" w:sz="0" w:space="0" w:color="auto"/>
            <w:left w:val="none" w:sz="0" w:space="0" w:color="auto"/>
            <w:bottom w:val="none" w:sz="0" w:space="0" w:color="auto"/>
            <w:right w:val="none" w:sz="0" w:space="0" w:color="auto"/>
          </w:divBdr>
          <w:divsChild>
            <w:div w:id="2013289481">
              <w:marLeft w:val="0"/>
              <w:marRight w:val="0"/>
              <w:marTop w:val="0"/>
              <w:marBottom w:val="0"/>
              <w:divBdr>
                <w:top w:val="none" w:sz="0" w:space="0" w:color="auto"/>
                <w:left w:val="none" w:sz="0" w:space="0" w:color="auto"/>
                <w:bottom w:val="none" w:sz="0" w:space="0" w:color="auto"/>
                <w:right w:val="none" w:sz="0" w:space="0" w:color="auto"/>
              </w:divBdr>
              <w:divsChild>
                <w:div w:id="19622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503">
          <w:marLeft w:val="0"/>
          <w:marRight w:val="0"/>
          <w:marTop w:val="0"/>
          <w:marBottom w:val="0"/>
          <w:divBdr>
            <w:top w:val="none" w:sz="0" w:space="0" w:color="auto"/>
            <w:left w:val="none" w:sz="0" w:space="0" w:color="auto"/>
            <w:bottom w:val="none" w:sz="0" w:space="0" w:color="auto"/>
            <w:right w:val="none" w:sz="0" w:space="0" w:color="auto"/>
          </w:divBdr>
          <w:divsChild>
            <w:div w:id="1585912829">
              <w:marLeft w:val="0"/>
              <w:marRight w:val="0"/>
              <w:marTop w:val="0"/>
              <w:marBottom w:val="0"/>
              <w:divBdr>
                <w:top w:val="none" w:sz="0" w:space="0" w:color="auto"/>
                <w:left w:val="none" w:sz="0" w:space="0" w:color="auto"/>
                <w:bottom w:val="none" w:sz="0" w:space="0" w:color="auto"/>
                <w:right w:val="none" w:sz="0" w:space="0" w:color="auto"/>
              </w:divBdr>
              <w:divsChild>
                <w:div w:id="1174340390">
                  <w:marLeft w:val="0"/>
                  <w:marRight w:val="0"/>
                  <w:marTop w:val="0"/>
                  <w:marBottom w:val="0"/>
                  <w:divBdr>
                    <w:top w:val="none" w:sz="0" w:space="0" w:color="auto"/>
                    <w:left w:val="none" w:sz="0" w:space="0" w:color="auto"/>
                    <w:bottom w:val="none" w:sz="0" w:space="0" w:color="auto"/>
                    <w:right w:val="none" w:sz="0" w:space="0" w:color="auto"/>
                  </w:divBdr>
                  <w:divsChild>
                    <w:div w:id="12252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6489">
      <w:bodyDiv w:val="1"/>
      <w:marLeft w:val="0"/>
      <w:marRight w:val="0"/>
      <w:marTop w:val="0"/>
      <w:marBottom w:val="0"/>
      <w:divBdr>
        <w:top w:val="none" w:sz="0" w:space="0" w:color="auto"/>
        <w:left w:val="none" w:sz="0" w:space="0" w:color="auto"/>
        <w:bottom w:val="none" w:sz="0" w:space="0" w:color="auto"/>
        <w:right w:val="none" w:sz="0" w:space="0" w:color="auto"/>
      </w:divBdr>
      <w:divsChild>
        <w:div w:id="1437096705">
          <w:marLeft w:val="0"/>
          <w:marRight w:val="0"/>
          <w:marTop w:val="0"/>
          <w:marBottom w:val="0"/>
          <w:divBdr>
            <w:top w:val="none" w:sz="0" w:space="0" w:color="auto"/>
            <w:left w:val="none" w:sz="0" w:space="0" w:color="auto"/>
            <w:bottom w:val="none" w:sz="0" w:space="0" w:color="auto"/>
            <w:right w:val="none" w:sz="0" w:space="0" w:color="auto"/>
          </w:divBdr>
          <w:divsChild>
            <w:div w:id="20544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6255</Words>
  <Characters>34407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2022-08-12T16:59:00Z</dcterms:created>
  <dcterms:modified xsi:type="dcterms:W3CDTF">2022-08-12T16:59:00Z</dcterms:modified>
</cp:coreProperties>
</file>